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20" w:lineRule="atLeast"/>
        <w:jc w:val="center"/>
        <w:rPr>
          <w:rFonts w:ascii="微软雅黑" w:hAnsi="微软雅黑"/>
          <w:sz w:val="72"/>
          <w:szCs w:val="72"/>
        </w:rPr>
      </w:pPr>
    </w:p>
    <w:p>
      <w:pPr>
        <w:spacing w:line="220" w:lineRule="atLeast"/>
        <w:jc w:val="center"/>
        <w:rPr>
          <w:rFonts w:ascii="微软雅黑" w:hAnsi="微软雅黑"/>
          <w:sz w:val="72"/>
          <w:szCs w:val="72"/>
        </w:rPr>
      </w:pPr>
    </w:p>
    <w:p>
      <w:pPr>
        <w:spacing w:line="220" w:lineRule="atLeast"/>
        <w:jc w:val="center"/>
        <w:rPr>
          <w:rFonts w:ascii="微软雅黑" w:hAnsi="微软雅黑"/>
          <w:sz w:val="64"/>
          <w:szCs w:val="64"/>
        </w:rPr>
      </w:pPr>
      <w:r>
        <w:rPr>
          <w:rFonts w:hint="eastAsia" w:ascii="微软雅黑" w:hAnsi="微软雅黑"/>
          <w:sz w:val="64"/>
          <w:szCs w:val="64"/>
        </w:rPr>
        <w:t>202</w:t>
      </w:r>
      <w:r>
        <w:rPr>
          <w:rFonts w:hint="eastAsia" w:ascii="微软雅黑" w:hAnsi="微软雅黑"/>
          <w:sz w:val="64"/>
          <w:szCs w:val="64"/>
          <w:lang w:val="en-US" w:eastAsia="zh-CN"/>
        </w:rPr>
        <w:t>0</w:t>
      </w:r>
      <w:bookmarkStart w:id="0" w:name="_GoBack"/>
      <w:bookmarkEnd w:id="0"/>
      <w:r>
        <w:rPr>
          <w:rFonts w:hint="eastAsia" w:ascii="微软雅黑" w:hAnsi="微软雅黑"/>
          <w:sz w:val="64"/>
          <w:szCs w:val="64"/>
        </w:rPr>
        <w:t>年河南省社会主义学院部门预算</w:t>
      </w:r>
    </w:p>
    <w:p>
      <w:pPr>
        <w:spacing w:line="220" w:lineRule="atLeast"/>
        <w:jc w:val="center"/>
        <w:rPr>
          <w:rFonts w:ascii="微软雅黑" w:hAnsi="微软雅黑"/>
          <w:sz w:val="72"/>
          <w:szCs w:val="72"/>
        </w:rPr>
      </w:pPr>
    </w:p>
    <w:p>
      <w:pPr>
        <w:spacing w:line="220" w:lineRule="atLeast"/>
        <w:jc w:val="center"/>
        <w:rPr>
          <w:rFonts w:ascii="微软雅黑" w:hAnsi="微软雅黑"/>
          <w:sz w:val="72"/>
          <w:szCs w:val="72"/>
        </w:rPr>
      </w:pPr>
    </w:p>
    <w:p>
      <w:pPr>
        <w:spacing w:line="220" w:lineRule="atLeast"/>
        <w:jc w:val="center"/>
        <w:rPr>
          <w:rFonts w:ascii="微软雅黑" w:hAnsi="微软雅黑"/>
          <w:sz w:val="72"/>
          <w:szCs w:val="72"/>
        </w:rPr>
      </w:pPr>
    </w:p>
    <w:p>
      <w:pPr>
        <w:spacing w:line="220" w:lineRule="atLeast"/>
        <w:jc w:val="center"/>
        <w:rPr>
          <w:rFonts w:ascii="微软雅黑" w:hAnsi="微软雅黑"/>
          <w:sz w:val="48"/>
          <w:szCs w:val="48"/>
        </w:rPr>
      </w:pPr>
      <w:r>
        <w:rPr>
          <w:rFonts w:hint="eastAsia" w:ascii="微软雅黑" w:hAnsi="微软雅黑"/>
          <w:sz w:val="72"/>
          <w:szCs w:val="72"/>
        </w:rPr>
        <w:t xml:space="preserve"> </w:t>
      </w:r>
      <w:r>
        <w:rPr>
          <w:rFonts w:hint="eastAsia" w:ascii="微软雅黑" w:hAnsi="微软雅黑"/>
          <w:sz w:val="48"/>
          <w:szCs w:val="48"/>
        </w:rPr>
        <w:t>二〇二〇年三月</w:t>
      </w:r>
    </w:p>
    <w:p>
      <w:pPr>
        <w:spacing w:line="220" w:lineRule="atLeast"/>
        <w:jc w:val="center"/>
        <w:rPr>
          <w:rFonts w:ascii="微软雅黑" w:hAnsi="微软雅黑"/>
          <w:sz w:val="72"/>
          <w:szCs w:val="72"/>
        </w:rPr>
      </w:pPr>
    </w:p>
    <w:p>
      <w:pPr>
        <w:spacing w:line="220" w:lineRule="atLeast"/>
        <w:jc w:val="center"/>
        <w:rPr>
          <w:rFonts w:ascii="微软雅黑" w:hAnsi="微软雅黑"/>
          <w:sz w:val="72"/>
          <w:szCs w:val="72"/>
        </w:rPr>
      </w:pPr>
    </w:p>
    <w:p>
      <w:pPr>
        <w:spacing w:line="220" w:lineRule="atLeast"/>
        <w:rPr>
          <w:rFonts w:ascii="宋体" w:hAnsi="宋体" w:eastAsia="宋体"/>
          <w:sz w:val="32"/>
          <w:szCs w:val="32"/>
        </w:rPr>
        <w:sectPr>
          <w:pgSz w:w="11906" w:h="16838"/>
          <w:pgMar w:top="1440" w:right="1797" w:bottom="1440" w:left="1797" w:header="709" w:footer="709" w:gutter="0"/>
          <w:cols w:space="708" w:num="1"/>
          <w:docGrid w:linePitch="360"/>
        </w:sectPr>
      </w:pPr>
    </w:p>
    <w:tbl>
      <w:tblPr>
        <w:tblW w:w="129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480"/>
        <w:gridCol w:w="1400"/>
        <w:gridCol w:w="1080"/>
        <w:gridCol w:w="2060"/>
        <w:gridCol w:w="860"/>
        <w:gridCol w:w="860"/>
        <w:gridCol w:w="860"/>
        <w:gridCol w:w="860"/>
        <w:gridCol w:w="860"/>
        <w:gridCol w:w="860"/>
        <w:gridCol w:w="860"/>
        <w:gridCol w:w="860"/>
      </w:tblGrid>
      <w:tr>
        <w:trPr>
          <w:trHeight w:val="150" w:hRule="atLeast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rPr>
          <w:trHeight w:val="360" w:hRule="atLeast"/>
        </w:trPr>
        <w:tc>
          <w:tcPr>
            <w:tcW w:w="1290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sz w:val="20"/>
                <w:szCs w:val="20"/>
              </w:rPr>
              <w:t>预算01表</w:t>
            </w:r>
          </w:p>
        </w:tc>
      </w:tr>
      <w:tr>
        <w:trPr>
          <w:trHeight w:val="600" w:hRule="atLeast"/>
        </w:trPr>
        <w:tc>
          <w:tcPr>
            <w:tcW w:w="1290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b/>
                <w:bCs/>
                <w:color w:val="000000"/>
                <w:sz w:val="38"/>
                <w:szCs w:val="3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sz w:val="38"/>
                <w:szCs w:val="38"/>
              </w:rPr>
              <w:t>收 支 预 算 总 表</w:t>
            </w:r>
          </w:p>
        </w:tc>
      </w:tr>
      <w:tr>
        <w:trPr>
          <w:trHeight w:val="360" w:hRule="atLeast"/>
        </w:trPr>
        <w:tc>
          <w:tcPr>
            <w:tcW w:w="9460" w:type="dxa"/>
            <w:gridSpan w:val="8"/>
            <w:tcBorders>
              <w:top w:val="nil"/>
              <w:left w:val="nil"/>
              <w:bottom w:val="single" w:color="CCCCCC" w:sz="4" w:space="0"/>
              <w:right w:val="nil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sz w:val="20"/>
                <w:szCs w:val="20"/>
              </w:rPr>
              <w:t>部门名称：河南省社会主义学院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nil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nil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color="CCCCCC" w:sz="4" w:space="0"/>
              <w:right w:val="nil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sz w:val="20"/>
                <w:szCs w:val="20"/>
              </w:rPr>
              <w:t>单位：万元</w:t>
            </w:r>
          </w:p>
        </w:tc>
      </w:tr>
      <w:tr>
        <w:trPr>
          <w:trHeight w:val="229" w:hRule="atLeast"/>
        </w:trPr>
        <w:tc>
          <w:tcPr>
            <w:tcW w:w="3960" w:type="dxa"/>
            <w:gridSpan w:val="3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收入</w:t>
            </w:r>
          </w:p>
        </w:tc>
        <w:tc>
          <w:tcPr>
            <w:tcW w:w="8940" w:type="dxa"/>
            <w:gridSpan w:val="9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支出</w:t>
            </w:r>
          </w:p>
        </w:tc>
      </w:tr>
      <w:tr>
        <w:trPr>
          <w:trHeight w:val="274" w:hRule="atLeast"/>
        </w:trPr>
        <w:tc>
          <w:tcPr>
            <w:tcW w:w="2880" w:type="dxa"/>
            <w:gridSpan w:val="2"/>
            <w:vMerge w:val="restart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项目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金额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项目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用事业单位基金弥补收支差额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部门结转资金</w:t>
            </w:r>
          </w:p>
        </w:tc>
        <w:tc>
          <w:tcPr>
            <w:tcW w:w="4300" w:type="dxa"/>
            <w:gridSpan w:val="5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本年支出小计</w:t>
            </w:r>
          </w:p>
        </w:tc>
      </w:tr>
      <w:tr>
        <w:trPr>
          <w:trHeight w:val="264" w:hRule="atLeast"/>
        </w:trPr>
        <w:tc>
          <w:tcPr>
            <w:tcW w:w="2880" w:type="dxa"/>
            <w:gridSpan w:val="2"/>
            <w:vMerge w:val="continue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2060" w:type="dxa"/>
            <w:vMerge w:val="continue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一般公共预算</w:t>
            </w:r>
          </w:p>
        </w:tc>
        <w:tc>
          <w:tcPr>
            <w:tcW w:w="860" w:type="dxa"/>
            <w:vMerge w:val="restart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其他收入</w:t>
            </w:r>
          </w:p>
        </w:tc>
      </w:tr>
      <w:tr>
        <w:trPr>
          <w:trHeight w:val="423" w:hRule="atLeast"/>
        </w:trPr>
        <w:tc>
          <w:tcPr>
            <w:tcW w:w="2880" w:type="dxa"/>
            <w:gridSpan w:val="2"/>
            <w:vMerge w:val="continue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2060" w:type="dxa"/>
            <w:vMerge w:val="continue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财政拨款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行政事业性收费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专项收入</w:t>
            </w:r>
          </w:p>
        </w:tc>
        <w:tc>
          <w:tcPr>
            <w:tcW w:w="860" w:type="dxa"/>
            <w:vMerge w:val="continue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</w:p>
        </w:tc>
      </w:tr>
      <w:tr>
        <w:trPr>
          <w:trHeight w:val="135" w:hRule="atLeast"/>
        </w:trPr>
        <w:tc>
          <w:tcPr>
            <w:tcW w:w="1480" w:type="dxa"/>
            <w:vMerge w:val="restart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一般公共预算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2,708.4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一、基本支出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847.0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847.0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847.0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</w:tr>
      <w:tr>
        <w:trPr>
          <w:trHeight w:val="198" w:hRule="atLeast"/>
        </w:trPr>
        <w:tc>
          <w:tcPr>
            <w:tcW w:w="1480" w:type="dxa"/>
            <w:vMerge w:val="continue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财政拨款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1,868.4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１、工资福利支出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663.4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663.4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663.4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1480" w:type="dxa"/>
            <w:vMerge w:val="continue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行政事业性收费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840.0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２、商品服务支出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129.1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129.1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129.1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1480" w:type="dxa"/>
            <w:vMerge w:val="continue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专项收入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３、对个人和家庭的补助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54.5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54.5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54.5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</w:tr>
      <w:tr>
        <w:trPr>
          <w:trHeight w:val="405" w:hRule="atLeast"/>
        </w:trPr>
        <w:tc>
          <w:tcPr>
            <w:tcW w:w="1480" w:type="dxa"/>
            <w:vMerge w:val="continue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国有资产资源有偿使用收入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4、资本性支出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1480" w:type="dxa"/>
            <w:vMerge w:val="continue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一般债券资金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二、项目支出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1,861.4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1,861.4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1,021.4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840.0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</w:tr>
      <w:tr>
        <w:trPr>
          <w:trHeight w:val="172" w:hRule="atLeast"/>
        </w:trPr>
        <w:tc>
          <w:tcPr>
            <w:tcW w:w="2880" w:type="dxa"/>
            <w:gridSpan w:val="2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中央专项转移支付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（一）一般性项目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1,861.4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1,861.4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1,021.4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840.0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</w:tr>
      <w:tr>
        <w:trPr>
          <w:trHeight w:val="191" w:hRule="atLeast"/>
        </w:trPr>
        <w:tc>
          <w:tcPr>
            <w:tcW w:w="2880" w:type="dxa"/>
            <w:gridSpan w:val="2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政府性基金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（二）专项资金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</w:tr>
      <w:tr>
        <w:trPr>
          <w:trHeight w:val="267" w:hRule="atLeast"/>
        </w:trPr>
        <w:tc>
          <w:tcPr>
            <w:tcW w:w="2880" w:type="dxa"/>
            <w:gridSpan w:val="2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国有资本经营预算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1、基本建设支出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</w:tr>
      <w:tr>
        <w:trPr>
          <w:trHeight w:val="113" w:hRule="atLeast"/>
        </w:trPr>
        <w:tc>
          <w:tcPr>
            <w:tcW w:w="2880" w:type="dxa"/>
            <w:gridSpan w:val="2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专户管理的教育收费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2、事业发展专项支出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</w:tr>
      <w:tr>
        <w:trPr>
          <w:trHeight w:val="161" w:hRule="atLeast"/>
        </w:trPr>
        <w:tc>
          <w:tcPr>
            <w:tcW w:w="2880" w:type="dxa"/>
            <w:gridSpan w:val="2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事业收入（不含教育收费）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3、经济发展支出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</w:tr>
      <w:tr>
        <w:trPr>
          <w:trHeight w:val="207" w:hRule="atLeast"/>
        </w:trPr>
        <w:tc>
          <w:tcPr>
            <w:tcW w:w="2880" w:type="dxa"/>
            <w:gridSpan w:val="2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 xml:space="preserve">经营收入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4、债务项目支出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</w:tr>
      <w:tr>
        <w:trPr>
          <w:trHeight w:val="213" w:hRule="atLeast"/>
        </w:trPr>
        <w:tc>
          <w:tcPr>
            <w:tcW w:w="2880" w:type="dxa"/>
            <w:gridSpan w:val="2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其他收入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5、其他各项支出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</w:tr>
      <w:tr>
        <w:trPr>
          <w:trHeight w:val="118" w:hRule="atLeast"/>
        </w:trPr>
        <w:tc>
          <w:tcPr>
            <w:tcW w:w="2880" w:type="dxa"/>
            <w:gridSpan w:val="2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本 年 收 入 小 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2,708.4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</w:tr>
      <w:tr>
        <w:trPr>
          <w:trHeight w:val="135" w:hRule="atLeast"/>
        </w:trPr>
        <w:tc>
          <w:tcPr>
            <w:tcW w:w="2880" w:type="dxa"/>
            <w:gridSpan w:val="2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加：部门财政性资金结转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</w:tr>
      <w:tr>
        <w:trPr>
          <w:trHeight w:val="190" w:hRule="atLeast"/>
        </w:trPr>
        <w:tc>
          <w:tcPr>
            <w:tcW w:w="2880" w:type="dxa"/>
            <w:gridSpan w:val="2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 xml:space="preserve">    用事业单位基金弥补收支差额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</w:tr>
      <w:tr>
        <w:trPr>
          <w:trHeight w:val="124" w:hRule="atLeast"/>
        </w:trPr>
        <w:tc>
          <w:tcPr>
            <w:tcW w:w="2880" w:type="dxa"/>
            <w:gridSpan w:val="2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 xml:space="preserve"> 收 入 合 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2,708.4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支 出 合 计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2,708.4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2,708.4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1,868.4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840.0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</w:tr>
    </w:tbl>
    <w:p>
      <w:pPr>
        <w:spacing w:line="220" w:lineRule="atLeast"/>
        <w:rPr>
          <w:rFonts w:ascii="宋体" w:hAnsi="宋体" w:eastAsia="宋体"/>
          <w:sz w:val="32"/>
          <w:szCs w:val="32"/>
        </w:rPr>
        <w:sectPr>
          <w:pgSz w:w="16838" w:h="11906" w:orient="landscape"/>
          <w:pgMar w:top="1797" w:right="1440" w:bottom="1797" w:left="1440" w:header="709" w:footer="709" w:gutter="0"/>
          <w:cols w:space="708" w:num="1"/>
          <w:docGrid w:linePitch="360"/>
        </w:sectPr>
      </w:pPr>
    </w:p>
    <w:tbl>
      <w:tblPr>
        <w:tblW w:w="95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486"/>
        <w:gridCol w:w="460"/>
        <w:gridCol w:w="460"/>
        <w:gridCol w:w="3000"/>
        <w:gridCol w:w="1080"/>
        <w:gridCol w:w="1080"/>
        <w:gridCol w:w="1080"/>
        <w:gridCol w:w="820"/>
        <w:gridCol w:w="1080"/>
      </w:tblGrid>
      <w:tr>
        <w:trPr>
          <w:trHeight w:val="360" w:hRule="atLeast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rPr>
          <w:trHeight w:val="360" w:hRule="atLeast"/>
        </w:trPr>
        <w:tc>
          <w:tcPr>
            <w:tcW w:w="954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sz w:val="20"/>
                <w:szCs w:val="20"/>
              </w:rPr>
              <w:t>预算02表</w:t>
            </w:r>
          </w:p>
        </w:tc>
      </w:tr>
      <w:tr>
        <w:trPr>
          <w:trHeight w:val="600" w:hRule="atLeast"/>
        </w:trPr>
        <w:tc>
          <w:tcPr>
            <w:tcW w:w="954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b/>
                <w:bCs/>
                <w:color w:val="000000"/>
                <w:sz w:val="38"/>
                <w:szCs w:val="3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sz w:val="38"/>
                <w:szCs w:val="38"/>
              </w:rPr>
              <w:t>支 出 预 算 分 类 汇 总 表（按支出功能分类）</w:t>
            </w:r>
          </w:p>
        </w:tc>
      </w:tr>
      <w:tr>
        <w:trPr>
          <w:trHeight w:val="360" w:hRule="atLeast"/>
        </w:trPr>
        <w:tc>
          <w:tcPr>
            <w:tcW w:w="8466" w:type="dxa"/>
            <w:gridSpan w:val="8"/>
            <w:tcBorders>
              <w:top w:val="nil"/>
              <w:left w:val="nil"/>
              <w:bottom w:val="single" w:color="CCCCCC" w:sz="4" w:space="0"/>
              <w:right w:val="nil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sz w:val="20"/>
                <w:szCs w:val="20"/>
              </w:rPr>
              <w:t>部门名称：河南省社会主义学院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nil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单位：万元</w:t>
            </w:r>
          </w:p>
        </w:tc>
      </w:tr>
      <w:tr>
        <w:trPr>
          <w:trHeight w:val="360" w:hRule="atLeast"/>
        </w:trPr>
        <w:tc>
          <w:tcPr>
            <w:tcW w:w="1406" w:type="dxa"/>
            <w:gridSpan w:val="3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科目编码</w:t>
            </w:r>
          </w:p>
        </w:tc>
        <w:tc>
          <w:tcPr>
            <w:tcW w:w="3000" w:type="dxa"/>
            <w:vMerge w:val="restart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科目名称</w:t>
            </w:r>
          </w:p>
        </w:tc>
        <w:tc>
          <w:tcPr>
            <w:tcW w:w="5140" w:type="dxa"/>
            <w:gridSpan w:val="5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资金来源</w:t>
            </w:r>
          </w:p>
        </w:tc>
      </w:tr>
      <w:tr>
        <w:trPr>
          <w:trHeight w:val="420" w:hRule="atLeast"/>
        </w:trPr>
        <w:tc>
          <w:tcPr>
            <w:tcW w:w="486" w:type="dxa"/>
            <w:vMerge w:val="restart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类</w:t>
            </w: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款</w:t>
            </w: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项</w:t>
            </w:r>
          </w:p>
        </w:tc>
        <w:tc>
          <w:tcPr>
            <w:tcW w:w="3000" w:type="dxa"/>
            <w:vMerge w:val="continue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总计</w:t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一般公共预算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其他收入</w:t>
            </w:r>
          </w:p>
        </w:tc>
      </w:tr>
      <w:tr>
        <w:trPr>
          <w:trHeight w:val="420" w:hRule="atLeast"/>
        </w:trPr>
        <w:tc>
          <w:tcPr>
            <w:tcW w:w="486" w:type="dxa"/>
            <w:vMerge w:val="continue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3000" w:type="dxa"/>
            <w:vMerge w:val="continue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财政拨款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行政事业性收费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2,708.4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2,708.4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1,868.4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840.0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一般公共服务支出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937.2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937.2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937.2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群众团体事务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937.2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937.2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937.2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行政运行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937.2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937.2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937.2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行政运行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937.2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937.2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937.2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教育支出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1,546.8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1,546.8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706.8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840.0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进修及培训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1,546.8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1,546.8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706.8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840.0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干部教育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1,546.8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1,546.8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706.8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840.0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干部教育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1,546.8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1,546.8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706.8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840.0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社会保障和就业支出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105.7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105.7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105.7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行政事业单位养老支出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105.7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105.7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105.7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行政单位离退休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56.2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56.2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56.2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行政单位离退休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56.2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56.2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56.2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49.5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49.5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49.5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49.5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49.5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49.5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卫生健康支出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60.7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60.7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60.7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行政事业单位医疗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60.7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60.7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60.7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行政单位医疗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60.7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60.7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60.7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行政单位医疗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60.7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60.7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60.7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住房保障支出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58.0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58.0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58.0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住房改革支出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58.0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58.0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58.0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住房公积金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58.0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58.0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58.0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住房公积金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58.0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58.0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58.0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</w:tr>
    </w:tbl>
    <w:p>
      <w:pPr>
        <w:spacing w:line="220" w:lineRule="atLeast"/>
        <w:rPr>
          <w:rFonts w:ascii="宋体" w:hAnsi="宋体" w:eastAsia="宋体"/>
          <w:sz w:val="32"/>
          <w:szCs w:val="32"/>
        </w:rPr>
      </w:pPr>
    </w:p>
    <w:p>
      <w:pPr>
        <w:spacing w:line="220" w:lineRule="atLeast"/>
        <w:rPr>
          <w:rFonts w:ascii="宋体" w:hAnsi="宋体" w:eastAsia="宋体"/>
          <w:sz w:val="32"/>
          <w:szCs w:val="32"/>
        </w:rPr>
      </w:pPr>
    </w:p>
    <w:p>
      <w:pPr>
        <w:spacing w:line="220" w:lineRule="atLeast"/>
        <w:rPr>
          <w:rFonts w:ascii="宋体" w:hAnsi="宋体" w:eastAsia="宋体"/>
          <w:sz w:val="32"/>
          <w:szCs w:val="32"/>
        </w:rPr>
      </w:pPr>
    </w:p>
    <w:p>
      <w:pPr>
        <w:spacing w:line="220" w:lineRule="atLeast"/>
        <w:rPr>
          <w:rFonts w:ascii="宋体" w:hAnsi="宋体" w:eastAsia="宋体"/>
          <w:sz w:val="32"/>
          <w:szCs w:val="32"/>
        </w:rPr>
        <w:sectPr>
          <w:pgSz w:w="11906" w:h="16838"/>
          <w:pgMar w:top="1440" w:right="1797" w:bottom="1440" w:left="1797" w:header="709" w:footer="709" w:gutter="0"/>
          <w:cols w:space="708" w:num="1"/>
          <w:docGrid w:linePitch="360"/>
        </w:sectPr>
      </w:pPr>
    </w:p>
    <w:tbl>
      <w:tblPr>
        <w:tblW w:w="128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486"/>
        <w:gridCol w:w="460"/>
        <w:gridCol w:w="460"/>
        <w:gridCol w:w="900"/>
        <w:gridCol w:w="2440"/>
        <w:gridCol w:w="800"/>
        <w:gridCol w:w="1160"/>
        <w:gridCol w:w="880"/>
        <w:gridCol w:w="940"/>
        <w:gridCol w:w="900"/>
        <w:gridCol w:w="900"/>
        <w:gridCol w:w="900"/>
        <w:gridCol w:w="780"/>
        <w:gridCol w:w="840"/>
      </w:tblGrid>
      <w:tr>
        <w:trPr>
          <w:trHeight w:val="360" w:hRule="atLeast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rPr>
          <w:trHeight w:val="360" w:hRule="atLeast"/>
        </w:trPr>
        <w:tc>
          <w:tcPr>
            <w:tcW w:w="1284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sz w:val="20"/>
                <w:szCs w:val="20"/>
              </w:rPr>
              <w:t>预算03表</w:t>
            </w:r>
          </w:p>
        </w:tc>
      </w:tr>
      <w:tr>
        <w:trPr>
          <w:trHeight w:val="600" w:hRule="atLeast"/>
        </w:trPr>
        <w:tc>
          <w:tcPr>
            <w:tcW w:w="1284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b/>
                <w:bCs/>
                <w:color w:val="000000"/>
                <w:sz w:val="38"/>
                <w:szCs w:val="3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sz w:val="38"/>
                <w:szCs w:val="38"/>
              </w:rPr>
              <w:t>项 目 支 出 预 算 表</w:t>
            </w:r>
          </w:p>
        </w:tc>
      </w:tr>
      <w:tr>
        <w:trPr>
          <w:trHeight w:val="360" w:hRule="atLeast"/>
        </w:trPr>
        <w:tc>
          <w:tcPr>
            <w:tcW w:w="9426" w:type="dxa"/>
            <w:gridSpan w:val="10"/>
            <w:tcBorders>
              <w:top w:val="nil"/>
              <w:left w:val="nil"/>
              <w:bottom w:val="single" w:color="CCCCCC" w:sz="4" w:space="0"/>
              <w:right w:val="nil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sz w:val="20"/>
                <w:szCs w:val="20"/>
              </w:rPr>
              <w:t>部门名称：河南省社会主义学院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CCCCCC" w:sz="4" w:space="0"/>
              <w:right w:val="nil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CCCCCC" w:sz="4" w:space="0"/>
              <w:right w:val="nil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CCCCCC" w:sz="4" w:space="0"/>
              <w:right w:val="nil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单位：万元</w:t>
            </w:r>
          </w:p>
        </w:tc>
      </w:tr>
      <w:tr>
        <w:trPr>
          <w:trHeight w:val="360" w:hRule="atLeast"/>
        </w:trPr>
        <w:tc>
          <w:tcPr>
            <w:tcW w:w="1406" w:type="dxa"/>
            <w:gridSpan w:val="3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科目编码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单位代码</w:t>
            </w:r>
          </w:p>
        </w:tc>
        <w:tc>
          <w:tcPr>
            <w:tcW w:w="2440" w:type="dxa"/>
            <w:vMerge w:val="restart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单位（项目名称）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细化后项目名称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项目安排属性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是否据实核拨类项目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项目支出类型</w:t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资金来源</w:t>
            </w:r>
          </w:p>
        </w:tc>
      </w:tr>
      <w:tr>
        <w:trPr>
          <w:trHeight w:val="420" w:hRule="atLeast"/>
        </w:trPr>
        <w:tc>
          <w:tcPr>
            <w:tcW w:w="486" w:type="dxa"/>
            <w:vMerge w:val="restart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类</w:t>
            </w: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款</w:t>
            </w: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项</w:t>
            </w: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vMerge w:val="continue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vMerge w:val="continue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总计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一般公共预算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其他收入</w:t>
            </w:r>
          </w:p>
        </w:tc>
      </w:tr>
      <w:tr>
        <w:trPr>
          <w:trHeight w:val="420" w:hRule="atLeast"/>
        </w:trPr>
        <w:tc>
          <w:tcPr>
            <w:tcW w:w="486" w:type="dxa"/>
            <w:vMerge w:val="continue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vMerge w:val="continue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vMerge w:val="continue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财政拨款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行政事业性收费</w:t>
            </w: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1,861.4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1,861.4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1,021.4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840.0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013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中共河南省委统一战线工作部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1,861.4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1,861.4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1,021.4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840.0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013201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河南省社会主义学院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1,861.4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1,861.4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1,021.4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840.0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013201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党建教育经费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经常性项目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单位项目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013201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非税收入可支付金额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经常性项目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单位项目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840.0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840.0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840.0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013201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教学科研经费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经常性项目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单位项目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50.6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50.6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50.6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013201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文化学院经费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经常性项目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单位项目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22.7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22.7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22.7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013201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运转费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经常性项目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单位项目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937.2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937.2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937.2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</w:tr>
    </w:tbl>
    <w:p>
      <w:pPr>
        <w:spacing w:line="220" w:lineRule="atLeast"/>
        <w:rPr>
          <w:rFonts w:ascii="宋体" w:hAnsi="宋体" w:eastAsia="宋体"/>
          <w:sz w:val="32"/>
          <w:szCs w:val="32"/>
        </w:rPr>
      </w:pPr>
    </w:p>
    <w:p>
      <w:pPr>
        <w:spacing w:line="220" w:lineRule="atLeast"/>
        <w:rPr>
          <w:rFonts w:ascii="宋体" w:hAnsi="宋体" w:eastAsia="宋体"/>
          <w:sz w:val="32"/>
          <w:szCs w:val="32"/>
        </w:rPr>
      </w:pPr>
    </w:p>
    <w:p>
      <w:pPr>
        <w:spacing w:line="220" w:lineRule="atLeast"/>
        <w:rPr>
          <w:rFonts w:ascii="宋体" w:hAnsi="宋体" w:eastAsia="宋体"/>
          <w:sz w:val="32"/>
          <w:szCs w:val="32"/>
        </w:rPr>
      </w:pPr>
    </w:p>
    <w:tbl>
      <w:tblPr>
        <w:tblW w:w="132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960"/>
        <w:gridCol w:w="1780"/>
        <w:gridCol w:w="184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rPr>
          <w:trHeight w:val="255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rPr>
          <w:trHeight w:val="255" w:hRule="atLeast"/>
        </w:trPr>
        <w:tc>
          <w:tcPr>
            <w:tcW w:w="1322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sz w:val="20"/>
                <w:szCs w:val="20"/>
              </w:rPr>
              <w:t>预算04表</w:t>
            </w:r>
          </w:p>
        </w:tc>
      </w:tr>
      <w:tr>
        <w:trPr>
          <w:trHeight w:val="480" w:hRule="atLeast"/>
        </w:trPr>
        <w:tc>
          <w:tcPr>
            <w:tcW w:w="1322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b/>
                <w:bCs/>
                <w:color w:val="000000"/>
                <w:sz w:val="38"/>
                <w:szCs w:val="3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sz w:val="38"/>
                <w:szCs w:val="38"/>
              </w:rPr>
              <w:t>部门厉行节约支出预算表（一般公共预算）</w:t>
            </w:r>
          </w:p>
        </w:tc>
      </w:tr>
      <w:tr>
        <w:trPr>
          <w:trHeight w:val="255" w:hRule="atLeast"/>
        </w:trPr>
        <w:tc>
          <w:tcPr>
            <w:tcW w:w="11300" w:type="dxa"/>
            <w:gridSpan w:val="10"/>
            <w:tcBorders>
              <w:top w:val="nil"/>
              <w:left w:val="nil"/>
              <w:bottom w:val="single" w:color="CCCCCC" w:sz="4" w:space="0"/>
              <w:right w:val="nil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sz w:val="20"/>
                <w:szCs w:val="20"/>
              </w:rPr>
              <w:t>部门名称：中共河南省委统一战线工作部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color="CCCCCC" w:sz="4" w:space="0"/>
              <w:right w:val="nil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sz w:val="20"/>
                <w:szCs w:val="20"/>
              </w:rPr>
              <w:t>单位：万元</w:t>
            </w:r>
          </w:p>
        </w:tc>
      </w:tr>
      <w:tr>
        <w:trPr>
          <w:trHeight w:val="255" w:hRule="atLeast"/>
        </w:trPr>
        <w:tc>
          <w:tcPr>
            <w:tcW w:w="960" w:type="dxa"/>
            <w:vMerge w:val="restart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单位代码</w:t>
            </w:r>
          </w:p>
        </w:tc>
        <w:tc>
          <w:tcPr>
            <w:tcW w:w="1780" w:type="dxa"/>
            <w:vMerge w:val="restart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单位名称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项目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支出类型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“三公”经费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会议费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培训费</w:t>
            </w:r>
          </w:p>
        </w:tc>
      </w:tr>
      <w:tr>
        <w:trPr>
          <w:trHeight w:val="675" w:hRule="atLeast"/>
        </w:trPr>
        <w:tc>
          <w:tcPr>
            <w:tcW w:w="960" w:type="dxa"/>
            <w:vMerge w:val="continue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1780" w:type="dxa"/>
            <w:vMerge w:val="continue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 w:val="continue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因公出国（境）费用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公务接待费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公务用车运行维护费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公务用车购置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9.6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0.4</w:t>
            </w:r>
          </w:p>
        </w:tc>
      </w:tr>
      <w:tr>
        <w:trPr>
          <w:trHeight w:val="405" w:hRule="atLeast"/>
        </w:trPr>
        <w:tc>
          <w:tcPr>
            <w:tcW w:w="960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013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中共河南省委统一战线工作部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9.6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0.4</w:t>
            </w:r>
          </w:p>
        </w:tc>
      </w:tr>
      <w:tr>
        <w:trPr>
          <w:trHeight w:val="405" w:hRule="atLeast"/>
        </w:trPr>
        <w:tc>
          <w:tcPr>
            <w:tcW w:w="960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013201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河南省社会主义学院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9.6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0.4</w:t>
            </w:r>
          </w:p>
        </w:tc>
      </w:tr>
      <w:tr>
        <w:trPr>
          <w:trHeight w:val="405" w:hRule="atLeast"/>
        </w:trPr>
        <w:tc>
          <w:tcPr>
            <w:tcW w:w="960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河南省社会主义学院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公用经费综合定额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基本支出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9.6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0.4</w:t>
            </w:r>
          </w:p>
        </w:tc>
      </w:tr>
    </w:tbl>
    <w:p>
      <w:pPr>
        <w:spacing w:line="220" w:lineRule="atLeast"/>
        <w:rPr>
          <w:rFonts w:ascii="宋体" w:hAnsi="宋体" w:eastAsia="宋体"/>
          <w:sz w:val="32"/>
          <w:szCs w:val="32"/>
        </w:rPr>
      </w:pPr>
    </w:p>
    <w:p>
      <w:pPr>
        <w:spacing w:line="220" w:lineRule="atLeast"/>
        <w:ind w:firstLine="640" w:firstLineChars="200"/>
        <w:rPr>
          <w:rFonts w:ascii="宋体" w:hAnsi="宋体" w:eastAsia="宋体"/>
          <w:sz w:val="32"/>
          <w:szCs w:val="32"/>
        </w:rPr>
      </w:pPr>
    </w:p>
    <w:p>
      <w:pPr>
        <w:spacing w:line="220" w:lineRule="atLeast"/>
        <w:ind w:firstLine="640" w:firstLineChars="200"/>
        <w:rPr>
          <w:rFonts w:ascii="宋体" w:hAnsi="宋体" w:eastAsia="宋体"/>
          <w:sz w:val="32"/>
          <w:szCs w:val="32"/>
        </w:rPr>
      </w:pPr>
    </w:p>
    <w:p>
      <w:pPr>
        <w:spacing w:line="220" w:lineRule="atLeast"/>
        <w:ind w:firstLine="640" w:firstLineChars="200"/>
        <w:rPr>
          <w:rFonts w:ascii="宋体" w:hAnsi="宋体" w:eastAsia="宋体"/>
          <w:sz w:val="32"/>
          <w:szCs w:val="32"/>
        </w:rPr>
      </w:pPr>
    </w:p>
    <w:p>
      <w:pPr>
        <w:spacing w:line="220" w:lineRule="atLeast"/>
        <w:ind w:firstLine="640" w:firstLineChars="200"/>
        <w:rPr>
          <w:rFonts w:ascii="宋体" w:hAnsi="宋体" w:eastAsia="宋体"/>
          <w:sz w:val="32"/>
          <w:szCs w:val="32"/>
        </w:rPr>
      </w:pPr>
    </w:p>
    <w:p>
      <w:pPr>
        <w:spacing w:line="220" w:lineRule="atLeast"/>
        <w:ind w:firstLine="640" w:firstLineChars="200"/>
        <w:rPr>
          <w:rFonts w:ascii="宋体" w:hAnsi="宋体" w:eastAsia="宋体"/>
          <w:sz w:val="32"/>
          <w:szCs w:val="32"/>
        </w:rPr>
      </w:pPr>
    </w:p>
    <w:p>
      <w:pPr>
        <w:spacing w:line="220" w:lineRule="atLeast"/>
        <w:ind w:firstLine="640" w:firstLineChars="200"/>
        <w:rPr>
          <w:rFonts w:ascii="宋体" w:hAnsi="宋体" w:eastAsia="宋体"/>
          <w:sz w:val="32"/>
          <w:szCs w:val="32"/>
        </w:rPr>
      </w:pPr>
    </w:p>
    <w:p>
      <w:pPr>
        <w:spacing w:line="220" w:lineRule="atLeast"/>
        <w:ind w:firstLine="640" w:firstLineChars="200"/>
        <w:rPr>
          <w:rFonts w:ascii="宋体" w:hAnsi="宋体" w:eastAsia="宋体"/>
          <w:sz w:val="32"/>
          <w:szCs w:val="32"/>
        </w:rPr>
        <w:sectPr>
          <w:pgSz w:w="16838" w:h="11906" w:orient="landscape"/>
          <w:pgMar w:top="1797" w:right="1440" w:bottom="1797" w:left="1440" w:header="709" w:footer="709" w:gutter="0"/>
          <w:cols w:space="708" w:num="1"/>
          <w:docGrid w:linePitch="360"/>
        </w:sectPr>
      </w:pPr>
    </w:p>
    <w:p>
      <w:pPr>
        <w:spacing w:after="0" w:line="240" w:lineRule="exact"/>
        <w:jc w:val="center"/>
        <w:rPr>
          <w:rFonts w:hint="eastAsia" w:ascii="微软雅黑" w:hAnsi="微软雅黑"/>
          <w:sz w:val="44"/>
          <w:szCs w:val="44"/>
        </w:rPr>
      </w:pPr>
    </w:p>
    <w:p>
      <w:pPr>
        <w:spacing w:line="220" w:lineRule="atLeast"/>
        <w:jc w:val="center"/>
        <w:rPr>
          <w:rFonts w:ascii="微软雅黑" w:hAnsi="微软雅黑"/>
          <w:sz w:val="44"/>
          <w:szCs w:val="44"/>
        </w:rPr>
      </w:pPr>
      <w:r>
        <w:rPr>
          <w:rFonts w:hint="eastAsia" w:ascii="微软雅黑" w:hAnsi="微软雅黑"/>
          <w:sz w:val="44"/>
          <w:szCs w:val="44"/>
        </w:rPr>
        <w:t>2020年部门预算情况和重要事项说明</w:t>
      </w:r>
    </w:p>
    <w:p>
      <w:pPr>
        <w:spacing w:after="0" w:line="240" w:lineRule="atLeast"/>
        <w:ind w:firstLine="640" w:firstLineChars="200"/>
        <w:rPr>
          <w:rFonts w:ascii="宋体" w:hAnsi="宋体" w:eastAsia="宋体"/>
          <w:sz w:val="32"/>
          <w:szCs w:val="32"/>
        </w:rPr>
      </w:pPr>
    </w:p>
    <w:p>
      <w:pPr>
        <w:spacing w:after="0" w:line="440" w:lineRule="exact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一、2020 年部门预算情况说明</w:t>
      </w:r>
    </w:p>
    <w:p>
      <w:pPr>
        <w:spacing w:after="0" w:line="440" w:lineRule="exact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（一）收支预算总体情况</w:t>
      </w:r>
    </w:p>
    <w:p>
      <w:pPr>
        <w:spacing w:after="0" w:line="440" w:lineRule="exact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按照综合预算的原则，河南省社会主义学院所有收入和支出均纳入部门预算管理。收入包括：一般公共预算拨款收入、行政事业性收费、其他收入、上年结转；支出全部为教育支出。</w:t>
      </w:r>
    </w:p>
    <w:p>
      <w:pPr>
        <w:spacing w:after="0" w:line="440" w:lineRule="exact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2020 年收入预算为2708.4万元，其中：财政拨款1868.4万元，占 69%；行政事业性收费840万元，占31%。</w:t>
      </w:r>
    </w:p>
    <w:p>
      <w:pPr>
        <w:spacing w:after="0" w:line="440" w:lineRule="exact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2020 年支出预算为2708.4 万元，其中：基本支出847万元，占31%，项目支出1861.4万元，占69%。</w:t>
      </w:r>
    </w:p>
    <w:p>
      <w:pPr>
        <w:spacing w:after="0" w:line="440" w:lineRule="exact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与2019年相比，2020年预算收入和支出均增加442.5万元，主要原因是：</w:t>
      </w:r>
      <w:r>
        <w:rPr>
          <w:rStyle w:val="3"/>
          <w:rFonts w:hint="default" w:ascii="宋体" w:hAnsi="宋体" w:eastAsia="宋体"/>
        </w:rPr>
        <w:t>一是新校区运转费增加；二是2019年 12月份上缴的非税收入应返还额结转至 2020 年；三是人员增加及人员经费自然增长。</w:t>
      </w:r>
    </w:p>
    <w:p>
      <w:pPr>
        <w:spacing w:after="0" w:line="440" w:lineRule="exact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（二）财政拨款收支情况</w:t>
      </w:r>
    </w:p>
    <w:p>
      <w:pPr>
        <w:spacing w:after="0" w:line="440" w:lineRule="exact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2020 年财政拨款收入预算为2708.4万元，其中：一般公共预算2708.4万元，占100%。</w:t>
      </w:r>
    </w:p>
    <w:p>
      <w:pPr>
        <w:spacing w:after="0" w:line="440" w:lineRule="exact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2020 年财政拨款支出预算为2708.4万元，全部为教育（类）支出2708.4万元，占 100%。</w:t>
      </w:r>
    </w:p>
    <w:p>
      <w:pPr>
        <w:spacing w:after="0" w:line="440" w:lineRule="exact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（三）一般公共预算收支情况</w:t>
      </w:r>
    </w:p>
    <w:p>
      <w:pPr>
        <w:spacing w:after="0" w:line="440" w:lineRule="exact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2020 年一般公共预算当年拨款2708.4万元，比上年增加19%，主要是新校区运转费增加和人员增加及人员经费自然增长。</w:t>
      </w:r>
    </w:p>
    <w:p>
      <w:pPr>
        <w:spacing w:after="0" w:line="440" w:lineRule="exact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2020 年当年一般公共预算支出预算为2708.4万元，比上年增加19%，其中：教育（类）支出2708.4万元，占 100%。</w:t>
      </w:r>
    </w:p>
    <w:p>
      <w:pPr>
        <w:spacing w:after="0" w:line="440" w:lineRule="exact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（四）政府性基金预算收支情况</w:t>
      </w:r>
    </w:p>
    <w:p>
      <w:pPr>
        <w:spacing w:after="0" w:line="440" w:lineRule="exact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河南省社会主义学院 2020 年没有使用政府性基金预算拨款安排的支出。</w:t>
      </w:r>
    </w:p>
    <w:p>
      <w:pPr>
        <w:spacing w:after="0" w:line="440" w:lineRule="exact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（五）财政拨款安排的基本支出情况</w:t>
      </w:r>
    </w:p>
    <w:p>
      <w:pPr>
        <w:spacing w:after="0" w:line="440" w:lineRule="exact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2020 财政拨款安排的基本支出预算847万元，其中：  人员经费763万元，按部门预算支出经济分类主要包括：基本工资、津贴补贴、奖金、绩效工资、机关事业单位基本养老保险缴费、职业年金缴费、其他社会保障缴费、住房公积金、退休费、其他对个人和家庭的补助支出等。按政府预算支出经济分类主要包括：对事业单位经常性补助、对个人和家庭的补助等。</w:t>
      </w:r>
    </w:p>
    <w:p>
      <w:pPr>
        <w:spacing w:after="0" w:line="440" w:lineRule="exact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公用经费84万元，按部门预算支出经济分类主要包括：办公费、印刷费、水费、电费、邮电费、取暖费、差旅费、维修（护）费、培训费、公务接待费、劳务费、工会经费、公务用车运行维护费、其他交通费、其他商品和服务支出等。按政府预算支出经济分类主要包括：对事业单位经常性补助等。</w:t>
      </w:r>
    </w:p>
    <w:p>
      <w:pPr>
        <w:spacing w:after="0" w:line="440" w:lineRule="exact"/>
        <w:ind w:firstLine="640" w:firstLineChars="200"/>
        <w:rPr>
          <w:rFonts w:ascii="宋体" w:hAnsi="宋体" w:eastAsia="宋体"/>
          <w:sz w:val="32"/>
          <w:szCs w:val="32"/>
        </w:rPr>
      </w:pPr>
    </w:p>
    <w:p>
      <w:pPr>
        <w:spacing w:after="0" w:line="440" w:lineRule="exact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二、重要事项说明</w:t>
      </w:r>
    </w:p>
    <w:p>
      <w:pPr>
        <w:spacing w:after="0" w:line="440" w:lineRule="exact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（一）政府采购情况</w:t>
      </w:r>
    </w:p>
    <w:p>
      <w:pPr>
        <w:spacing w:after="0" w:line="440" w:lineRule="exact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2020 年政府采购预算430万元，其中：行政事业性收费安排 430万元。</w:t>
      </w:r>
    </w:p>
    <w:p>
      <w:pPr>
        <w:spacing w:after="0" w:line="440" w:lineRule="exact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（二）一般公共预算安排的“三公”经费情况</w:t>
      </w:r>
    </w:p>
    <w:p>
      <w:pPr>
        <w:spacing w:after="0" w:line="440" w:lineRule="exact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2020 年，通过一般公共预算财政拨款安排的“三公”经费预算共9.2万元，其中：公务用车购置及运行费9万元，公务接待费0.2万元，会议费0万元。</w:t>
      </w:r>
    </w:p>
    <w:p>
      <w:pPr>
        <w:spacing w:after="0" w:line="440" w:lineRule="exact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2020 年“三公”经费预算比 2019 年减少7万元，其中：因公出国费减少7.98万元，公务用车购置及运行费增加0.98万元。因公出国费减少，主要是</w:t>
      </w:r>
      <w:r>
        <w:rPr>
          <w:rStyle w:val="3"/>
          <w:rFonts w:hint="default" w:ascii="宋体" w:hAnsi="宋体" w:eastAsia="宋体"/>
        </w:rPr>
        <w:t>在严格贯彻落实</w:t>
      </w:r>
      <w:r>
        <w:rPr>
          <w:rFonts w:hint="eastAsia" w:ascii="宋体" w:hAnsi="宋体" w:eastAsia="宋体"/>
          <w:color w:val="000000"/>
          <w:sz w:val="32"/>
          <w:szCs w:val="32"/>
        </w:rPr>
        <w:br/>
      </w:r>
      <w:r>
        <w:rPr>
          <w:rStyle w:val="3"/>
          <w:rFonts w:hint="default" w:ascii="宋体" w:hAnsi="宋体" w:eastAsia="宋体"/>
        </w:rPr>
        <w:t>中央“八项规定”有关要求的情况下，部门大力压减出访团组。</w:t>
      </w:r>
      <w:r>
        <w:rPr>
          <w:rFonts w:hint="eastAsia" w:ascii="宋体" w:hAnsi="宋体" w:eastAsia="宋体"/>
          <w:sz w:val="32"/>
          <w:szCs w:val="32"/>
        </w:rPr>
        <w:t>公务用车购置及运行费增加，主要是进一步严格规范公务用车管理，车辆运行年限增加、车况老化，运转所需支出需求有所增加。</w:t>
      </w:r>
    </w:p>
    <w:p>
      <w:pPr>
        <w:spacing w:after="0" w:line="440" w:lineRule="exact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（三）机关运行经费情况</w:t>
      </w:r>
    </w:p>
    <w:p>
      <w:pPr>
        <w:spacing w:after="0" w:line="440" w:lineRule="exact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2020 年河南省社会主义学院的机关运行经费财政拨款预算为98.5万元，较 2019 年预算增加2.7万元，增长2%，主要是年度接收安置转业军人和招考录用公务员人数增加较多，按规定压减一般性支出后，据实核定的经费需求较上年略有增加。</w:t>
      </w:r>
    </w:p>
    <w:p>
      <w:pPr>
        <w:spacing w:after="0" w:line="440" w:lineRule="exact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（四）国有资产占有使用情况</w:t>
      </w:r>
    </w:p>
    <w:p>
      <w:pPr>
        <w:spacing w:after="0" w:line="440" w:lineRule="exact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截至2019年12月31日，河南省社会主义学院共有车辆6辆，其中，主要领导干部用车1辆，机要通信用车2辆，应急保障用车2辆，其他用车1辆。没有单位价值50万元以上通用设备，没有单位价值100万元以上大型设备。</w:t>
      </w:r>
    </w:p>
    <w:p>
      <w:pPr>
        <w:spacing w:after="0" w:line="440" w:lineRule="exact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2020 年部门预算安排购置单位价值100万元以上大型设备1台，为电梯和起重机200万元。</w:t>
      </w:r>
    </w:p>
    <w:p>
      <w:pPr>
        <w:spacing w:after="0" w:line="440" w:lineRule="exact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（五）绩效目标设置情况</w:t>
      </w:r>
    </w:p>
    <w:p>
      <w:pPr>
        <w:spacing w:after="0" w:line="440" w:lineRule="exact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2020 年河南省社会主义学院项目支出实现绩效目标管理全覆盖，涉及财政拨款1861.4万元，</w:t>
      </w:r>
      <w:r>
        <w:rPr>
          <w:rStyle w:val="3"/>
          <w:rFonts w:hint="default" w:ascii="宋体" w:hAnsi="宋体" w:eastAsia="宋体"/>
        </w:rPr>
        <w:t>从项目产出、项目效益、满意度等方面设置了绩效指标，综合反映项目预期完成的数量、实效、质量，预期达到的社会经济效益、可持续影响以及服务对象满意度等情况。</w:t>
      </w:r>
    </w:p>
    <w:p>
      <w:pPr>
        <w:spacing w:after="0" w:line="240" w:lineRule="atLeast"/>
        <w:rPr>
          <w:rFonts w:ascii="宋体" w:hAnsi="宋体" w:eastAsia="宋体"/>
          <w:sz w:val="32"/>
          <w:szCs w:val="32"/>
        </w:rPr>
      </w:pPr>
    </w:p>
    <w:p>
      <w:pPr>
        <w:spacing w:after="0" w:line="240" w:lineRule="atLeast"/>
        <w:ind w:firstLine="640" w:firstLineChars="200"/>
        <w:rPr>
          <w:rFonts w:ascii="宋体" w:hAnsi="宋体" w:eastAsia="宋体"/>
          <w:sz w:val="32"/>
          <w:szCs w:val="32"/>
        </w:rPr>
      </w:pPr>
    </w:p>
    <w:p>
      <w:pPr>
        <w:spacing w:after="0" w:line="240" w:lineRule="atLeast"/>
        <w:ind w:firstLine="640" w:firstLineChars="200"/>
        <w:rPr>
          <w:rFonts w:ascii="宋体" w:hAnsi="宋体" w:eastAsia="宋体"/>
          <w:sz w:val="32"/>
          <w:szCs w:val="32"/>
        </w:rPr>
      </w:pPr>
    </w:p>
    <w:p>
      <w:pPr>
        <w:spacing w:after="0" w:line="240" w:lineRule="atLeast"/>
        <w:rPr>
          <w:rFonts w:ascii="宋体" w:hAnsi="宋体" w:eastAsia="宋体"/>
          <w:sz w:val="32"/>
          <w:szCs w:val="32"/>
        </w:rPr>
      </w:pPr>
    </w:p>
    <w:p>
      <w:pPr>
        <w:spacing w:after="0" w:line="240" w:lineRule="atLeast"/>
        <w:rPr>
          <w:rFonts w:ascii="宋体" w:hAnsi="宋体" w:eastAsia="宋体"/>
          <w:sz w:val="32"/>
          <w:szCs w:val="32"/>
        </w:rPr>
      </w:pPr>
    </w:p>
    <w:p>
      <w:pPr>
        <w:spacing w:after="0" w:line="240" w:lineRule="atLeast"/>
        <w:rPr>
          <w:rFonts w:ascii="宋体" w:hAnsi="宋体" w:eastAsia="宋体"/>
          <w:sz w:val="32"/>
          <w:szCs w:val="32"/>
        </w:rPr>
      </w:pPr>
    </w:p>
    <w:p>
      <w:pPr>
        <w:spacing w:after="0" w:line="240" w:lineRule="atLeast"/>
        <w:rPr>
          <w:rFonts w:ascii="宋体" w:hAnsi="宋体" w:eastAsia="宋体"/>
          <w:sz w:val="32"/>
          <w:szCs w:val="32"/>
        </w:rPr>
      </w:pPr>
    </w:p>
    <w:p>
      <w:pPr>
        <w:spacing w:after="0" w:line="240" w:lineRule="atLeast"/>
        <w:rPr>
          <w:rFonts w:ascii="宋体" w:hAnsi="宋体" w:eastAsia="宋体"/>
          <w:sz w:val="32"/>
          <w:szCs w:val="32"/>
        </w:rPr>
      </w:pPr>
    </w:p>
    <w:p>
      <w:pPr>
        <w:spacing w:after="0" w:line="240" w:lineRule="atLeast"/>
        <w:rPr>
          <w:rFonts w:ascii="宋体" w:hAnsi="宋体" w:eastAsia="宋体"/>
          <w:sz w:val="32"/>
          <w:szCs w:val="32"/>
        </w:rPr>
      </w:pPr>
    </w:p>
    <w:p>
      <w:pPr>
        <w:spacing w:after="0" w:line="240" w:lineRule="atLeast"/>
        <w:rPr>
          <w:rFonts w:ascii="宋体" w:hAnsi="宋体" w:eastAsia="宋体"/>
          <w:sz w:val="32"/>
          <w:szCs w:val="32"/>
        </w:rPr>
      </w:pPr>
    </w:p>
    <w:p>
      <w:pPr>
        <w:spacing w:after="0" w:line="240" w:lineRule="atLeast"/>
        <w:rPr>
          <w:rFonts w:ascii="宋体" w:hAnsi="宋体" w:eastAsia="宋体"/>
          <w:sz w:val="32"/>
          <w:szCs w:val="32"/>
        </w:rPr>
      </w:pPr>
    </w:p>
    <w:p>
      <w:pPr>
        <w:spacing w:after="0" w:line="240" w:lineRule="atLeast"/>
        <w:rPr>
          <w:rFonts w:ascii="宋体" w:hAnsi="宋体" w:eastAsia="宋体"/>
          <w:sz w:val="32"/>
          <w:szCs w:val="32"/>
        </w:rPr>
      </w:pPr>
    </w:p>
    <w:p>
      <w:pPr>
        <w:spacing w:line="220" w:lineRule="atLeast"/>
        <w:jc w:val="center"/>
        <w:rPr>
          <w:rFonts w:ascii="微软雅黑" w:hAnsi="微软雅黑"/>
          <w:sz w:val="44"/>
          <w:szCs w:val="44"/>
        </w:rPr>
      </w:pPr>
      <w:r>
        <w:rPr>
          <w:rFonts w:hint="eastAsia" w:ascii="微软雅黑" w:hAnsi="微软雅黑"/>
          <w:sz w:val="44"/>
          <w:szCs w:val="44"/>
        </w:rPr>
        <w:t>名词解释</w:t>
      </w:r>
    </w:p>
    <w:p>
      <w:pPr>
        <w:spacing w:line="220" w:lineRule="atLeast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一、财政拨款收入：指由省级财政拨款形成的部门收入。按现行管理制度，省级部门预算中反映的财政拨款包括一般公共预算拨款、政府性基金预算拨款和国有资本经营预算拨款。</w:t>
      </w:r>
    </w:p>
    <w:p>
      <w:pPr>
        <w:spacing w:line="220" w:lineRule="atLeast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二、其他收入：指除上述“财政拨款收入”、“事业收入”、“事业单位经营收入”等以外的收入。</w:t>
      </w:r>
    </w:p>
    <w:p>
      <w:pPr>
        <w:spacing w:line="220" w:lineRule="atLeast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三、用事业基金弥补收支差额：指事业单位在预计用当年的“财政拨款收入”、“财政拨款结转和结余资金”、“事业收入”、“事业单位经营收入”、“其他收入”等不足以安排当年支出的情况下，使用以前年度积累的事业基金（事业单位当年收支相抵后按国家规定提取、用于弥补以后年度收支差额的基金）弥补本年度收支缺口的资金。</w:t>
      </w:r>
    </w:p>
    <w:p>
      <w:pPr>
        <w:spacing w:line="220" w:lineRule="atLeast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四、上年结转：指以前年度尚未完成、结转到本年仍按原规定用途继续使用的资金。</w:t>
      </w:r>
    </w:p>
    <w:p>
      <w:pPr>
        <w:spacing w:line="220" w:lineRule="atLeast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五、基本支出：指为保障机构正常运转、完成日常工作任务而发生的人员经费和日常公用经费。</w:t>
      </w:r>
    </w:p>
    <w:p>
      <w:pPr>
        <w:spacing w:line="220" w:lineRule="atLeast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六、项目支出：指在基本支出之外为完成特定任务和事业发展目标所发生的支出。</w:t>
      </w:r>
    </w:p>
    <w:p>
      <w:pPr>
        <w:spacing w:line="220" w:lineRule="atLeast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七、“三公”经费：指省级部门用一般公共预算财政拨款安排的因公出国（境）费、公务用车购置及运行费和公务接待费。其中，因公出国（境）费反映单位公务出国（境）的国际差旅费、国外城市间交通费、住宿费、伙食费、培训费、公杂费等支出；公务用车购置及运行费反映单位公务用车车辆购置支出（含车辆购置税）及燃料费、维修费、过路过桥费、保险费、安全奖励费用等支出；公务接待费反映单位按规定开支的各类接待（含外宾接待）支出。</w:t>
      </w:r>
    </w:p>
    <w:p>
      <w:pPr>
        <w:spacing w:line="220" w:lineRule="atLeast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八、机关运行经费：指省级行政单位（包括参照公务员法管理的事业单位）的财政拨款公用经费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spacing w:line="220" w:lineRule="atLeast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九、教育（类）进修及培训（款）干部教育（项）：指本院的基本支出和项目支出，包括办公及印刷费、邮电费、差旅费、基本工资、津贴补贴、培训费等。</w:t>
      </w:r>
    </w:p>
    <w:sectPr>
      <w:pgSz w:w="11906" w:h="16838"/>
      <w:pgMar w:top="1440" w:right="1797" w:bottom="1440" w:left="1797" w:header="709" w:footer="709" w:gutter="0"/>
      <w:cols w:space="708" w:num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A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/>
      <w:sz w:val="22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character" w:customStyle="1" w:styleId="3">
    <w:name w:val="fontstyle01"/>
    <w:basedOn w:val="2"/>
    <w:uiPriority w:val="0"/>
    <w:rPr>
      <w:rFonts w:hint="eastAsia" w:ascii="仿宋" w:hAnsi="仿宋" w:eastAsia="仿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823</Words>
  <Characters>4693</Characters>
  <Lines>39</Lines>
  <Paragraphs>11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2020-03-20T06:17:00Z</dcterms:created>
  <dc:creator>Administrator</dc:creator>
  <cp:lastModifiedBy>Lenovo</cp:lastModifiedBy>
  <dcterms:modified xsi:type="dcterms:W3CDTF">2020-03-20T07:35:27Z</dcterms:modified>
  <dc:title>2020年河南省社会主义学院部门预算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